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480"/>
        <w:jc w:val="center"/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吴江区公共资源交易系统保函校验操作手册</w:t>
      </w:r>
    </w:p>
    <w:p>
      <w:pPr>
        <w:spacing w:before="0" w:after="0" w:line="240" w:lineRule="auto"/>
        <w:ind w:left="0" w:right="0" w:firstLine="48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吴江区公共资源交易系统，通过对接苏州市投标保函辅助验证平台，可以实现投标人在线验证保函有效性，具体操作如下。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、操作前提：</w:t>
      </w:r>
      <w:bookmarkStart w:id="0" w:name="_GoBack"/>
      <w:bookmarkEnd w:id="0"/>
    </w:p>
    <w:p>
      <w:pPr>
        <w:spacing w:before="0" w:after="0" w:line="240" w:lineRule="auto"/>
        <w:ind w:left="0" w:right="0" w:firstLine="48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保函出具机构提供的保函已开具成功，且出具机构已在苏州市投标保函辅助验证平台维护保函相关信息。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苏州市投标保函辅助验证平台保函入驻机构查询，【电子保函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-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公示栏】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fldChar w:fldCharType="begin"/>
      </w:r>
      <w:r>
        <w:instrText xml:space="preserve"> HYPERLINK "http://caibepoint.caej.com.cn/epoint-verifyplatform-web" \h </w:instrText>
      </w:r>
      <w:r>
        <w:fldChar w:fldCharType="separate"/>
      </w:r>
      <w:r>
        <w:rPr>
          <w:rFonts w:ascii="Calibri" w:hAnsi="Calibri" w:eastAsia="Calibri" w:cs="Calibri"/>
          <w:color w:val="0000FF"/>
          <w:spacing w:val="0"/>
          <w:position w:val="0"/>
          <w:sz w:val="21"/>
          <w:u w:val="single"/>
          <w:shd w:val="clear" w:fill="auto"/>
        </w:rPr>
        <w:t>http://caibepoint.caej.com.cn/epoint-verifyplatform-web</w:t>
      </w:r>
      <w:r>
        <w:rPr>
          <w:rFonts w:ascii="Calibri" w:hAnsi="Calibri" w:eastAsia="Calibri" w:cs="Calibri"/>
          <w:color w:val="0000FF"/>
          <w:spacing w:val="0"/>
          <w:position w:val="0"/>
          <w:sz w:val="21"/>
          <w:u w:val="single"/>
          <w:shd w:val="clear" w:fill="auto"/>
        </w:rPr>
        <w:fldChar w:fldCharType="end"/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pict>
          <v:shape id="rectole0000000000" o:spid="_x0000_s1026" o:spt="75" type="#_x0000_t75" style="height:259.15pt;width:444.4pt;" o:ole="t" filled="f" o:preferrelative="t" coordsize="21600,21600">
            <v:path/>
            <v:fill on="f" focussize="0,0"/>
            <v:stroke/>
            <v:imagedata r:id="rId5" o:title=""/>
            <o:lock v:ext="edit"/>
            <w10:wrap type="none"/>
            <w10:anchorlock/>
          </v:shape>
          <o:OLEObject Type="Embed" ProgID="StaticMetafile" ShapeID="rectole0000000000" DrawAspect="Content" ObjectID="_1468075725" r:id="rId4">
            <o:LockedField>false</o:LockedField>
          </o:OLEObject>
        </w:pict>
      </w:r>
    </w:p>
    <w:p>
      <w:pPr>
        <w:numPr>
          <w:ilvl w:val="0"/>
          <w:numId w:val="1"/>
        </w:num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吴江区电子保函验证操作流程：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（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1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）制作电子版投标文件时，在投标文件组成中的“投标保函扫描件”模块上传投标保函相关材料。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（</w:t>
      </w: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>2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）登录吴江区公共资源交易系统，在上传投标文件页面，点击保函校验，录入保单号、账户名、保函金额、保函有效期、出函机构等保函信息，【点击校验】，如下图：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pict>
          <v:shape id="rectole0000000001" o:spid="_x0000_s1027" o:spt="75" type="#_x0000_t75" style="height:290.55pt;width:548.7pt;" o:ole="t" filled="f" o:preferrelative="t" coordsize="21600,21600">
            <v:path/>
            <v:fill on="f" focussize="0,0"/>
            <v:stroke/>
            <v:imagedata r:id="rId7" o:title=""/>
            <o:lock v:ext="edit"/>
            <w10:wrap type="none"/>
            <w10:anchorlock/>
          </v:shape>
          <o:OLEObject Type="Embed" ProgID="StaticMetafile" ShapeID="rectole0000000001" DrawAspect="Content" ObjectID="_1468075726" r:id="rId6">
            <o:LockedField>false</o:LockedField>
          </o:OLEObject>
        </w:pic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注意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：提示校验通过表示验证平台保函校验正常，无需开标现场递交保函材料（投标保函扫描件仍需要上传至投标文件组成中的相应模块）。提示校验未通过时，可以向出函机构确认是否已在验证平台录入保函信息，如无法在线完成保函校验，仍需按照招标文件要求，现场向代理机构递交保函开具材料。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MTgyY2Y5Y2UxZjkwY2NiYzg1MTM4ZmQzOTFhYWJhY2IifQ=="/>
  </w:docVars>
  <w:rsids>
    <w:rsidRoot w:val="00000000"/>
    <w:rsid w:val="16F849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2023-11-24T03:18:38Z</dcterms:created>
  <dc:creator>Administrator</dc:creator>
  <cp:lastModifiedBy>Administrator</cp:lastModifiedBy>
  <dcterms:modified xsi:type="dcterms:W3CDTF">2023-11-24T03:18:53Z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59254560901440298474A2965AAC1087_12</vt:lpwstr>
  </property>
</Properties>
</file>