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D9" w:rsidRPr="00DD0FD9" w:rsidRDefault="00DD0FD9" w:rsidP="00DD0FD9">
      <w:pPr>
        <w:widowControl/>
        <w:spacing w:line="560" w:lineRule="exact"/>
        <w:jc w:val="center"/>
        <w:rPr>
          <w:rFonts w:asciiTheme="majorEastAsia" w:eastAsiaTheme="majorEastAsia" w:hAnsiTheme="majorEastAsia" w:cs="Arial"/>
          <w:b/>
          <w:bCs/>
          <w:kern w:val="0"/>
          <w:sz w:val="44"/>
          <w:szCs w:val="44"/>
        </w:rPr>
      </w:pPr>
      <w:r w:rsidRPr="00DD0FD9">
        <w:rPr>
          <w:rFonts w:asciiTheme="majorEastAsia" w:eastAsiaTheme="majorEastAsia" w:hAnsiTheme="majorEastAsia" w:cs="Arial" w:hint="eastAsia"/>
          <w:b/>
          <w:bCs/>
          <w:kern w:val="0"/>
          <w:sz w:val="44"/>
          <w:szCs w:val="44"/>
        </w:rPr>
        <w:t>市政府印发关于进一步加强全市房地产市场调控的意见的通知</w:t>
      </w:r>
    </w:p>
    <w:p w:rsidR="00DD0FD9" w:rsidRPr="00DD0FD9" w:rsidRDefault="00DD0FD9" w:rsidP="00DD0FD9">
      <w:pPr>
        <w:widowControl/>
        <w:spacing w:line="560" w:lineRule="exact"/>
        <w:jc w:val="center"/>
        <w:rPr>
          <w:rFonts w:ascii="仿宋" w:eastAsia="仿宋" w:hAnsi="仿宋" w:cs="Arial"/>
          <w:kern w:val="0"/>
          <w:sz w:val="32"/>
          <w:szCs w:val="32"/>
        </w:rPr>
      </w:pPr>
      <w:proofErr w:type="gramStart"/>
      <w:r w:rsidRPr="00DD0FD9">
        <w:rPr>
          <w:rFonts w:ascii="仿宋" w:eastAsia="仿宋" w:hAnsi="仿宋" w:cs="Arial"/>
          <w:b/>
          <w:bCs/>
          <w:kern w:val="0"/>
          <w:sz w:val="32"/>
          <w:szCs w:val="32"/>
        </w:rPr>
        <w:t>苏府〔2016〕</w:t>
      </w:r>
      <w:proofErr w:type="gramEnd"/>
      <w:r w:rsidRPr="00DD0FD9">
        <w:rPr>
          <w:rFonts w:ascii="仿宋" w:eastAsia="仿宋" w:hAnsi="仿宋" w:cs="Arial"/>
          <w:b/>
          <w:bCs/>
          <w:kern w:val="0"/>
          <w:sz w:val="32"/>
          <w:szCs w:val="32"/>
        </w:rPr>
        <w:t>150号</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Arial" w:eastAsia="仿宋" w:hAnsi="Arial" w:cs="Arial"/>
          <w:kern w:val="0"/>
          <w:sz w:val="32"/>
          <w:szCs w:val="32"/>
        </w:rPr>
        <w:t> </w:t>
      </w:r>
      <w:r w:rsidRPr="00DD0FD9">
        <w:rPr>
          <w:rFonts w:ascii="仿宋" w:eastAsia="仿宋" w:hAnsi="仿宋" w:cs="Arial"/>
          <w:kern w:val="0"/>
          <w:sz w:val="32"/>
          <w:szCs w:val="32"/>
        </w:rPr>
        <w:t>各市、区人民政府，苏州工业园区、苏州高新区、太仓港口管委会；市各委办局，各直属单位：</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《关于进一步加强全市房地产市场调控的意见》已经市政府同意，现印发给你们，请结合实际，认真贯彻落实。</w:t>
      </w:r>
    </w:p>
    <w:p w:rsidR="00DD0FD9" w:rsidRPr="00DD0FD9" w:rsidRDefault="00DD0FD9" w:rsidP="00DD0FD9">
      <w:pPr>
        <w:widowControl/>
        <w:spacing w:line="560" w:lineRule="exact"/>
        <w:jc w:val="right"/>
        <w:rPr>
          <w:rFonts w:ascii="仿宋" w:eastAsia="仿宋" w:hAnsi="仿宋" w:cs="Arial"/>
          <w:kern w:val="0"/>
          <w:sz w:val="32"/>
          <w:szCs w:val="32"/>
        </w:rPr>
      </w:pPr>
      <w:r w:rsidRPr="00DD0FD9">
        <w:rPr>
          <w:rFonts w:ascii="Arial" w:eastAsia="仿宋" w:hAnsi="Arial" w:cs="Arial"/>
          <w:kern w:val="0"/>
          <w:sz w:val="32"/>
          <w:szCs w:val="32"/>
        </w:rPr>
        <w:t> </w:t>
      </w:r>
      <w:r w:rsidRPr="00DD0FD9">
        <w:rPr>
          <w:rFonts w:ascii="仿宋" w:eastAsia="仿宋" w:hAnsi="仿宋" w:cs="Arial"/>
          <w:kern w:val="0"/>
          <w:sz w:val="32"/>
          <w:szCs w:val="32"/>
        </w:rPr>
        <w:t xml:space="preserve">　　　</w:t>
      </w:r>
      <w:r>
        <w:rPr>
          <w:rFonts w:ascii="仿宋" w:eastAsia="仿宋" w:hAnsi="仿宋" w:cs="Arial"/>
          <w:kern w:val="0"/>
          <w:sz w:val="32"/>
          <w:szCs w:val="32"/>
        </w:rPr>
        <w:t xml:space="preserve">　　　　　　　　　　　　　　　　　　　　　　　　　　</w:t>
      </w:r>
      <w:r w:rsidRPr="00DD0FD9">
        <w:rPr>
          <w:rFonts w:ascii="仿宋" w:eastAsia="仿宋" w:hAnsi="仿宋" w:cs="Arial"/>
          <w:kern w:val="0"/>
          <w:sz w:val="32"/>
          <w:szCs w:val="32"/>
        </w:rPr>
        <w:t>苏州市人民政府</w:t>
      </w:r>
      <w:proofErr w:type="gramStart"/>
      <w:r w:rsidRPr="00DD0FD9">
        <w:rPr>
          <w:rFonts w:ascii="仿宋" w:eastAsia="仿宋" w:hAnsi="仿宋" w:cs="Arial"/>
          <w:kern w:val="0"/>
          <w:sz w:val="32"/>
          <w:szCs w:val="32"/>
        </w:rPr>
        <w:t xml:space="preserve">　　　　　　　　　　　　　　　　　　　　　　　　　　　　　　　　</w:t>
      </w:r>
      <w:proofErr w:type="gramEnd"/>
      <w:r w:rsidRPr="00DD0FD9">
        <w:rPr>
          <w:rFonts w:ascii="仿宋" w:eastAsia="仿宋" w:hAnsi="仿宋" w:cs="Arial"/>
          <w:kern w:val="0"/>
          <w:sz w:val="32"/>
          <w:szCs w:val="32"/>
        </w:rPr>
        <w:t>2016年10月3日</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（此件公开发布）</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Arial" w:eastAsia="仿宋" w:hAnsi="Arial" w:cs="Arial"/>
          <w:kern w:val="0"/>
          <w:sz w:val="32"/>
          <w:szCs w:val="32"/>
        </w:rPr>
        <w:t>  </w:t>
      </w:r>
    </w:p>
    <w:p w:rsidR="00DD0FD9" w:rsidRDefault="00DD0FD9" w:rsidP="00DD0FD9">
      <w:pPr>
        <w:widowControl/>
        <w:spacing w:line="560" w:lineRule="exact"/>
        <w:jc w:val="center"/>
        <w:rPr>
          <w:rFonts w:asciiTheme="majorEastAsia" w:eastAsiaTheme="majorEastAsia" w:hAnsiTheme="majorEastAsia" w:cs="Arial" w:hint="eastAsia"/>
          <w:b/>
          <w:bCs/>
          <w:kern w:val="0"/>
          <w:sz w:val="44"/>
          <w:szCs w:val="44"/>
        </w:rPr>
      </w:pPr>
      <w:r w:rsidRPr="00DD0FD9">
        <w:rPr>
          <w:rFonts w:asciiTheme="majorEastAsia" w:eastAsiaTheme="majorEastAsia" w:hAnsiTheme="majorEastAsia" w:cs="Arial"/>
          <w:b/>
          <w:bCs/>
          <w:kern w:val="0"/>
          <w:sz w:val="44"/>
          <w:szCs w:val="44"/>
        </w:rPr>
        <w:t>关于进一步加强全市房地产市场</w:t>
      </w:r>
    </w:p>
    <w:p w:rsidR="00DD0FD9" w:rsidRPr="00DD0FD9" w:rsidRDefault="00DD0FD9" w:rsidP="00DD0FD9">
      <w:pPr>
        <w:widowControl/>
        <w:spacing w:line="560" w:lineRule="exact"/>
        <w:jc w:val="center"/>
        <w:rPr>
          <w:rFonts w:asciiTheme="majorEastAsia" w:eastAsiaTheme="majorEastAsia" w:hAnsiTheme="majorEastAsia" w:cs="Arial"/>
          <w:b/>
          <w:bCs/>
          <w:kern w:val="0"/>
          <w:sz w:val="44"/>
          <w:szCs w:val="44"/>
        </w:rPr>
      </w:pPr>
      <w:r w:rsidRPr="00DD0FD9">
        <w:rPr>
          <w:rFonts w:asciiTheme="majorEastAsia" w:eastAsiaTheme="majorEastAsia" w:hAnsiTheme="majorEastAsia" w:cs="Arial"/>
          <w:b/>
          <w:bCs/>
          <w:kern w:val="0"/>
          <w:sz w:val="44"/>
          <w:szCs w:val="44"/>
        </w:rPr>
        <w:t>调控的意见</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Arial" w:eastAsia="仿宋" w:hAnsi="Arial" w:cs="Arial"/>
          <w:kern w:val="0"/>
          <w:sz w:val="32"/>
          <w:szCs w:val="32"/>
        </w:rPr>
        <w:t> </w:t>
      </w:r>
      <w:r w:rsidRPr="00DD0FD9">
        <w:rPr>
          <w:rFonts w:ascii="仿宋" w:eastAsia="仿宋" w:hAnsi="仿宋" w:cs="Arial"/>
          <w:kern w:val="0"/>
          <w:sz w:val="32"/>
          <w:szCs w:val="32"/>
        </w:rPr>
        <w:t xml:space="preserve">　　为进一步促进房地产市场持续平稳健康发展，合理引导住房需求，抑制投资、投机性购房，稳定市场预期，根据国家“分类调控、因城施策”的总要求，经市政府研究，在苏府〔2016〕119号文件“苏十五条”政策基础上，制定进一步调控措施。现就有关意见通知如下：</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一、进一步完善土地出让条件。按照地块确定土地出让条件和建设要求，明确地块公建配套、人才公寓等配建要求；合理设置住宅用地出让市场指导价以及一次报价区间，对超过市场指导价的住宅用地，严格</w:t>
      </w:r>
      <w:proofErr w:type="gramStart"/>
      <w:r w:rsidRPr="00DD0FD9">
        <w:rPr>
          <w:rFonts w:ascii="仿宋" w:eastAsia="仿宋" w:hAnsi="仿宋" w:cs="Arial"/>
          <w:kern w:val="0"/>
          <w:sz w:val="32"/>
          <w:szCs w:val="32"/>
        </w:rPr>
        <w:t>按照苏府〔2016〕</w:t>
      </w:r>
      <w:proofErr w:type="gramEnd"/>
      <w:r w:rsidRPr="00DD0FD9">
        <w:rPr>
          <w:rFonts w:ascii="仿宋" w:eastAsia="仿宋" w:hAnsi="仿宋" w:cs="Arial"/>
          <w:kern w:val="0"/>
          <w:sz w:val="32"/>
          <w:szCs w:val="32"/>
        </w:rPr>
        <w:t>119号文件规定的销售条件执行。为保证商品住宅建设品质，推动土</w:t>
      </w:r>
      <w:r w:rsidRPr="00DD0FD9">
        <w:rPr>
          <w:rFonts w:ascii="仿宋" w:eastAsia="仿宋" w:hAnsi="仿宋" w:cs="Arial"/>
          <w:kern w:val="0"/>
          <w:sz w:val="32"/>
          <w:szCs w:val="32"/>
        </w:rPr>
        <w:lastRenderedPageBreak/>
        <w:t>地带设计方案出让，并可采取限价销售作为</w:t>
      </w:r>
      <w:proofErr w:type="gramStart"/>
      <w:r w:rsidRPr="00DD0FD9">
        <w:rPr>
          <w:rFonts w:ascii="仿宋" w:eastAsia="仿宋" w:hAnsi="仿宋" w:cs="Arial"/>
          <w:kern w:val="0"/>
          <w:sz w:val="32"/>
          <w:szCs w:val="32"/>
        </w:rPr>
        <w:t>招拍挂</w:t>
      </w:r>
      <w:proofErr w:type="gramEnd"/>
      <w:r w:rsidRPr="00DD0FD9">
        <w:rPr>
          <w:rFonts w:ascii="仿宋" w:eastAsia="仿宋" w:hAnsi="仿宋" w:cs="Arial"/>
          <w:kern w:val="0"/>
          <w:sz w:val="32"/>
          <w:szCs w:val="32"/>
        </w:rPr>
        <w:t>条件。加大保障房（定销商品房）和人才公寓的上市力度。</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二、进一步调整商品住宅购买政策。非本市户籍居民家庭申请购买第1套住房时，应提供自</w:t>
      </w:r>
      <w:bookmarkStart w:id="0" w:name="_GoBack"/>
      <w:bookmarkEnd w:id="0"/>
      <w:r w:rsidRPr="00DD0FD9">
        <w:rPr>
          <w:rFonts w:ascii="仿宋" w:eastAsia="仿宋" w:hAnsi="仿宋" w:cs="Arial"/>
          <w:kern w:val="0"/>
          <w:sz w:val="32"/>
          <w:szCs w:val="32"/>
        </w:rPr>
        <w:t>购房之日起前 2 年内在苏州市区（含吴江区）、昆山市、太仓市累计缴纳 1 年及以上个人所得税缴纳证明或社会保险（城镇社会保险）缴纳证明；暂停对已拥有1套及以上的非本市户籍居民家庭出售新建商品住房和二手住房；暂停向拥有3套及以上的本市户籍居民家庭出售新建商品住房和二手住房；房地产开发企业和房地产经纪机构不得向不符合条件的购房人出售商品住房。购房人需提供现有房屋情况相关证明材料并出具书面承诺。违反上述规定的，房地产交易和不动产登记部门不予办理相关手续。</w:t>
      </w:r>
    </w:p>
    <w:p w:rsidR="00DD0FD9" w:rsidRPr="00DD0FD9" w:rsidRDefault="00DD0FD9" w:rsidP="00DD0FD9">
      <w:pPr>
        <w:widowControl/>
        <w:spacing w:line="560" w:lineRule="exact"/>
        <w:ind w:firstLineChars="200" w:firstLine="640"/>
        <w:jc w:val="left"/>
        <w:rPr>
          <w:rFonts w:ascii="仿宋" w:eastAsia="仿宋" w:hAnsi="仿宋" w:cs="Arial"/>
          <w:kern w:val="0"/>
          <w:sz w:val="32"/>
          <w:szCs w:val="32"/>
        </w:rPr>
      </w:pPr>
      <w:r w:rsidRPr="00DD0FD9">
        <w:rPr>
          <w:rFonts w:ascii="仿宋" w:eastAsia="仿宋" w:hAnsi="仿宋" w:cs="Arial"/>
          <w:kern w:val="0"/>
          <w:sz w:val="32"/>
          <w:szCs w:val="32"/>
        </w:rPr>
        <w:t>苏州市引进的各类外来人才，凭有关证明文件参照执行本市户籍居民购房政策。</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三、进一步完善差别化住房信贷政策</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根据银发〔2015〕305号和银发〔2016〕26号文件规定，实施限购措施城市首次购房和首套房最低首付款比例不低于30%，二套房最低首付款比例不低于40%。按照市政府最新调控要求，经江苏省市场利率定价自律机制商定，对相关差别化住房信贷政策</w:t>
      </w:r>
      <w:proofErr w:type="gramStart"/>
      <w:r w:rsidRPr="00DD0FD9">
        <w:rPr>
          <w:rFonts w:ascii="仿宋" w:eastAsia="仿宋" w:hAnsi="仿宋" w:cs="Arial"/>
          <w:kern w:val="0"/>
          <w:sz w:val="32"/>
          <w:szCs w:val="32"/>
        </w:rPr>
        <w:t>作出</w:t>
      </w:r>
      <w:proofErr w:type="gramEnd"/>
      <w:r w:rsidRPr="00DD0FD9">
        <w:rPr>
          <w:rFonts w:ascii="仿宋" w:eastAsia="仿宋" w:hAnsi="仿宋" w:cs="Arial"/>
          <w:kern w:val="0"/>
          <w:sz w:val="32"/>
          <w:szCs w:val="32"/>
        </w:rPr>
        <w:t>如下进一步要求。</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（一）居民家庭首次购买普通住房（指从未购置过住房），按照国家政策，最低首付款比例不低于30%。</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lastRenderedPageBreak/>
        <w:t xml:space="preserve">　　（二）对于有购房贷款记录、但申请贷款购房时实际没有住房的居民家庭；有1套住房、但没有购房贷款记录的居民家庭或相应购房贷款已结清的居民家庭，申请商业性个人住房贷款购买普通住房的最低首付款比例由30%调整为50%。</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（三）居民家庭拥有1套住房且相应购房贷款未结清，再次申请商业性个人住房贷款购买普通住房的最低首付款比例由50%调整为80%，对于拥有两套及以上住房的居民家庭，暂停发放商业性个人住房贷款。</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四、从严控制公积金贷款。职工家庭首次使用公积金贷款的，贷款最高额度保持不变；职工家庭第二次使用公积金贷款的，家庭贷款最高额度从现行70万元调整至50万元，单人贷款最高额度从45万元调整至30万元；职工家庭第二次使用公积金贷款的，首付款比例从不低于住房总价的30%调整为不低于住房总价的50%；职工家庭第二次使用公积金贷款的，从按借款人个人账户余额之和的10倍计算可贷额度，调整为按借款人个人账户余额的6倍计算可贷额度；暂停受理职工家庭申请个人住房公积金贴息贷款（增量公转商）业务。</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五、进一步加强商品房价格管理。房地产开发企业应当科学合理确定申报价格，经价格部门严格成本核算确定备案价格后，一次性公开</w:t>
      </w:r>
      <w:proofErr w:type="gramStart"/>
      <w:r w:rsidRPr="00DD0FD9">
        <w:rPr>
          <w:rFonts w:ascii="仿宋" w:eastAsia="仿宋" w:hAnsi="仿宋" w:cs="Arial"/>
          <w:kern w:val="0"/>
          <w:sz w:val="32"/>
          <w:szCs w:val="32"/>
        </w:rPr>
        <w:t>全部准售房源</w:t>
      </w:r>
      <w:proofErr w:type="gramEnd"/>
      <w:r w:rsidRPr="00DD0FD9">
        <w:rPr>
          <w:rFonts w:ascii="仿宋" w:eastAsia="仿宋" w:hAnsi="仿宋" w:cs="Arial"/>
          <w:kern w:val="0"/>
          <w:sz w:val="32"/>
          <w:szCs w:val="32"/>
        </w:rPr>
        <w:t>及每套房屋价格，实际销售价格不得高于备案价格。同一批次分批销售时，不得提高销售价格。下一批次备案价格不得高于上一批次同类型房屋成交均价。</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lastRenderedPageBreak/>
        <w:t xml:space="preserve">　　六、进一步加强房地产市场监管。住建、国土、规划、物价、公安、工商、税务、金融等相关部门要切实履行职责，加强联合执法，对房地产开发企业及中介机构囤积房源、</w:t>
      </w:r>
      <w:proofErr w:type="gramStart"/>
      <w:r w:rsidRPr="00DD0FD9">
        <w:rPr>
          <w:rFonts w:ascii="仿宋" w:eastAsia="仿宋" w:hAnsi="仿宋" w:cs="Arial"/>
          <w:kern w:val="0"/>
          <w:sz w:val="32"/>
          <w:szCs w:val="32"/>
        </w:rPr>
        <w:t>捂盘惜售</w:t>
      </w:r>
      <w:proofErr w:type="gramEnd"/>
      <w:r w:rsidRPr="00DD0FD9">
        <w:rPr>
          <w:rFonts w:ascii="仿宋" w:eastAsia="仿宋" w:hAnsi="仿宋" w:cs="Arial"/>
          <w:kern w:val="0"/>
          <w:sz w:val="32"/>
          <w:szCs w:val="32"/>
        </w:rPr>
        <w:t>、恶意炒作、哄抬房价、虚构价格、变相涨价、价外加价或收取其他费用，以及违反商品住房销售“一价清”和明码标价制度，不按规定执行价格申报及备案制度等违规违法行为，根据不同情节，分别采取停止价格申报和预售证发放、</w:t>
      </w:r>
      <w:proofErr w:type="gramStart"/>
      <w:r w:rsidRPr="00DD0FD9">
        <w:rPr>
          <w:rFonts w:ascii="仿宋" w:eastAsia="仿宋" w:hAnsi="仿宋" w:cs="Arial"/>
          <w:kern w:val="0"/>
          <w:sz w:val="32"/>
          <w:szCs w:val="32"/>
        </w:rPr>
        <w:t>不予网签</w:t>
      </w:r>
      <w:proofErr w:type="gramEnd"/>
      <w:r w:rsidRPr="00DD0FD9">
        <w:rPr>
          <w:rFonts w:ascii="仿宋" w:eastAsia="仿宋" w:hAnsi="仿宋" w:cs="Arial"/>
          <w:kern w:val="0"/>
          <w:sz w:val="32"/>
          <w:szCs w:val="32"/>
        </w:rPr>
        <w:t>销售、限制参与土地竞拍等处罚或处理措施，并将其违规违法行为纳入不良信用记录，公开曝光。公安部门依法对违法犯罪行为加大查处力度。</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w:t>
      </w:r>
      <w:proofErr w:type="gramStart"/>
      <w:r w:rsidRPr="00DD0FD9">
        <w:rPr>
          <w:rFonts w:ascii="仿宋" w:eastAsia="仿宋" w:hAnsi="仿宋" w:cs="Arial"/>
          <w:kern w:val="0"/>
          <w:sz w:val="32"/>
          <w:szCs w:val="32"/>
        </w:rPr>
        <w:t>本意见自2016年10月4日起</w:t>
      </w:r>
      <w:proofErr w:type="gramEnd"/>
      <w:r w:rsidRPr="00DD0FD9">
        <w:rPr>
          <w:rFonts w:ascii="仿宋" w:eastAsia="仿宋" w:hAnsi="仿宋" w:cs="Arial"/>
          <w:kern w:val="0"/>
          <w:sz w:val="32"/>
          <w:szCs w:val="32"/>
        </w:rPr>
        <w:t>实施。本市有关政策与本意见不一致的，以本意见为准。政策执行时间，购买新建商品住房、二手住房以及申请个人住房按揭贷款统一</w:t>
      </w:r>
      <w:proofErr w:type="gramStart"/>
      <w:r w:rsidRPr="00DD0FD9">
        <w:rPr>
          <w:rFonts w:ascii="仿宋" w:eastAsia="仿宋" w:hAnsi="仿宋" w:cs="Arial"/>
          <w:kern w:val="0"/>
          <w:sz w:val="32"/>
          <w:szCs w:val="32"/>
        </w:rPr>
        <w:t>以网签合同</w:t>
      </w:r>
      <w:proofErr w:type="gramEnd"/>
      <w:r w:rsidRPr="00DD0FD9">
        <w:rPr>
          <w:rFonts w:ascii="仿宋" w:eastAsia="仿宋" w:hAnsi="仿宋" w:cs="Arial"/>
          <w:kern w:val="0"/>
          <w:sz w:val="32"/>
          <w:szCs w:val="32"/>
        </w:rPr>
        <w:t>时间为准。10月4日前已签订认购协议且已</w:t>
      </w:r>
      <w:proofErr w:type="gramStart"/>
      <w:r w:rsidRPr="00DD0FD9">
        <w:rPr>
          <w:rFonts w:ascii="仿宋" w:eastAsia="仿宋" w:hAnsi="仿宋" w:cs="Arial"/>
          <w:kern w:val="0"/>
          <w:sz w:val="32"/>
          <w:szCs w:val="32"/>
        </w:rPr>
        <w:t>支付部</w:t>
      </w:r>
      <w:proofErr w:type="gramEnd"/>
      <w:r w:rsidRPr="00DD0FD9">
        <w:rPr>
          <w:rFonts w:ascii="仿宋" w:eastAsia="仿宋" w:hAnsi="仿宋" w:cs="Arial"/>
          <w:kern w:val="0"/>
          <w:sz w:val="32"/>
          <w:szCs w:val="32"/>
        </w:rPr>
        <w:t>分房款的预售房源除外。</w:t>
      </w:r>
    </w:p>
    <w:p w:rsidR="00DD0FD9" w:rsidRPr="00DD0FD9" w:rsidRDefault="00DD0FD9" w:rsidP="00DD0FD9">
      <w:pPr>
        <w:widowControl/>
        <w:spacing w:line="560" w:lineRule="exact"/>
        <w:jc w:val="left"/>
        <w:rPr>
          <w:rFonts w:ascii="仿宋" w:eastAsia="仿宋" w:hAnsi="仿宋" w:cs="Arial"/>
          <w:kern w:val="0"/>
          <w:sz w:val="32"/>
          <w:szCs w:val="32"/>
        </w:rPr>
      </w:pPr>
      <w:r w:rsidRPr="00DD0FD9">
        <w:rPr>
          <w:rFonts w:ascii="仿宋" w:eastAsia="仿宋" w:hAnsi="仿宋" w:cs="Arial"/>
          <w:kern w:val="0"/>
          <w:sz w:val="32"/>
          <w:szCs w:val="32"/>
        </w:rPr>
        <w:t xml:space="preserve">　　本意见适用于苏州市区（含吴江区）、昆山市、太仓市。张家港市、常熟市根据本地实际，加快制定政策意见，报经市政府备案后实施。</w:t>
      </w:r>
    </w:p>
    <w:p w:rsidR="0023022C" w:rsidRPr="00DD0FD9" w:rsidRDefault="0023022C">
      <w:pPr>
        <w:rPr>
          <w:rFonts w:ascii="仿宋" w:eastAsia="仿宋" w:hAnsi="仿宋"/>
          <w:sz w:val="32"/>
          <w:szCs w:val="32"/>
        </w:rPr>
      </w:pPr>
    </w:p>
    <w:sectPr w:rsidR="0023022C" w:rsidRPr="00DD0FD9" w:rsidSect="002302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FD9"/>
    <w:rsid w:val="0023022C"/>
    <w:rsid w:val="00DD0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2C"/>
    <w:pPr>
      <w:widowControl w:val="0"/>
      <w:jc w:val="both"/>
    </w:pPr>
  </w:style>
  <w:style w:type="paragraph" w:styleId="1">
    <w:name w:val="heading 1"/>
    <w:basedOn w:val="a"/>
    <w:link w:val="1Char"/>
    <w:uiPriority w:val="9"/>
    <w:qFormat/>
    <w:rsid w:val="00DD0FD9"/>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0FD9"/>
    <w:rPr>
      <w:b/>
      <w:bCs/>
    </w:rPr>
  </w:style>
  <w:style w:type="character" w:customStyle="1" w:styleId="1Char">
    <w:name w:val="标题 1 Char"/>
    <w:basedOn w:val="a0"/>
    <w:link w:val="1"/>
    <w:uiPriority w:val="9"/>
    <w:rsid w:val="00DD0FD9"/>
    <w:rPr>
      <w:rFonts w:ascii="宋体" w:eastAsia="宋体" w:hAnsi="宋体" w:cs="宋体"/>
      <w:kern w:val="36"/>
      <w:sz w:val="24"/>
      <w:szCs w:val="24"/>
    </w:rPr>
  </w:style>
</w:styles>
</file>

<file path=word/webSettings.xml><?xml version="1.0" encoding="utf-8"?>
<w:webSettings xmlns:r="http://schemas.openxmlformats.org/officeDocument/2006/relationships" xmlns:w="http://schemas.openxmlformats.org/wordprocessingml/2006/main">
  <w:divs>
    <w:div w:id="140731129">
      <w:bodyDiv w:val="1"/>
      <w:marLeft w:val="0"/>
      <w:marRight w:val="0"/>
      <w:marTop w:val="0"/>
      <w:marBottom w:val="0"/>
      <w:divBdr>
        <w:top w:val="none" w:sz="0" w:space="0" w:color="auto"/>
        <w:left w:val="none" w:sz="0" w:space="0" w:color="auto"/>
        <w:bottom w:val="none" w:sz="0" w:space="0" w:color="auto"/>
        <w:right w:val="none" w:sz="0" w:space="0" w:color="auto"/>
      </w:divBdr>
      <w:divsChild>
        <w:div w:id="193494992">
          <w:marLeft w:val="0"/>
          <w:marRight w:val="0"/>
          <w:marTop w:val="0"/>
          <w:marBottom w:val="0"/>
          <w:divBdr>
            <w:top w:val="none" w:sz="0" w:space="0" w:color="auto"/>
            <w:left w:val="none" w:sz="0" w:space="0" w:color="auto"/>
            <w:bottom w:val="none" w:sz="0" w:space="0" w:color="auto"/>
            <w:right w:val="none" w:sz="0" w:space="0" w:color="auto"/>
          </w:divBdr>
        </w:div>
        <w:div w:id="123084298">
          <w:marLeft w:val="0"/>
          <w:marRight w:val="0"/>
          <w:marTop w:val="0"/>
          <w:marBottom w:val="0"/>
          <w:divBdr>
            <w:top w:val="none" w:sz="0" w:space="0" w:color="auto"/>
            <w:left w:val="none" w:sz="0" w:space="0" w:color="auto"/>
            <w:bottom w:val="none" w:sz="0" w:space="0" w:color="auto"/>
            <w:right w:val="none" w:sz="0" w:space="0" w:color="auto"/>
          </w:divBdr>
        </w:div>
        <w:div w:id="2130660979">
          <w:marLeft w:val="0"/>
          <w:marRight w:val="0"/>
          <w:marTop w:val="0"/>
          <w:marBottom w:val="0"/>
          <w:divBdr>
            <w:top w:val="none" w:sz="0" w:space="0" w:color="auto"/>
            <w:left w:val="none" w:sz="0" w:space="0" w:color="auto"/>
            <w:bottom w:val="none" w:sz="0" w:space="0" w:color="auto"/>
            <w:right w:val="none" w:sz="0" w:space="0" w:color="auto"/>
          </w:divBdr>
        </w:div>
        <w:div w:id="690306401">
          <w:marLeft w:val="0"/>
          <w:marRight w:val="0"/>
          <w:marTop w:val="0"/>
          <w:marBottom w:val="0"/>
          <w:divBdr>
            <w:top w:val="none" w:sz="0" w:space="0" w:color="auto"/>
            <w:left w:val="none" w:sz="0" w:space="0" w:color="auto"/>
            <w:bottom w:val="none" w:sz="0" w:space="0" w:color="auto"/>
            <w:right w:val="none" w:sz="0" w:space="0" w:color="auto"/>
          </w:divBdr>
        </w:div>
        <w:div w:id="1124228119">
          <w:marLeft w:val="0"/>
          <w:marRight w:val="0"/>
          <w:marTop w:val="0"/>
          <w:marBottom w:val="0"/>
          <w:divBdr>
            <w:top w:val="none" w:sz="0" w:space="0" w:color="auto"/>
            <w:left w:val="none" w:sz="0" w:space="0" w:color="auto"/>
            <w:bottom w:val="none" w:sz="0" w:space="0" w:color="auto"/>
            <w:right w:val="none" w:sz="0" w:space="0" w:color="auto"/>
          </w:divBdr>
        </w:div>
        <w:div w:id="284315145">
          <w:marLeft w:val="0"/>
          <w:marRight w:val="0"/>
          <w:marTop w:val="0"/>
          <w:marBottom w:val="0"/>
          <w:divBdr>
            <w:top w:val="none" w:sz="0" w:space="0" w:color="auto"/>
            <w:left w:val="none" w:sz="0" w:space="0" w:color="auto"/>
            <w:bottom w:val="none" w:sz="0" w:space="0" w:color="auto"/>
            <w:right w:val="none" w:sz="0" w:space="0" w:color="auto"/>
          </w:divBdr>
        </w:div>
        <w:div w:id="1000541589">
          <w:marLeft w:val="0"/>
          <w:marRight w:val="0"/>
          <w:marTop w:val="0"/>
          <w:marBottom w:val="0"/>
          <w:divBdr>
            <w:top w:val="none" w:sz="0" w:space="0" w:color="auto"/>
            <w:left w:val="none" w:sz="0" w:space="0" w:color="auto"/>
            <w:bottom w:val="none" w:sz="0" w:space="0" w:color="auto"/>
            <w:right w:val="none" w:sz="0" w:space="0" w:color="auto"/>
          </w:divBdr>
        </w:div>
        <w:div w:id="432937312">
          <w:marLeft w:val="0"/>
          <w:marRight w:val="0"/>
          <w:marTop w:val="0"/>
          <w:marBottom w:val="0"/>
          <w:divBdr>
            <w:top w:val="none" w:sz="0" w:space="0" w:color="auto"/>
            <w:left w:val="none" w:sz="0" w:space="0" w:color="auto"/>
            <w:bottom w:val="none" w:sz="0" w:space="0" w:color="auto"/>
            <w:right w:val="none" w:sz="0" w:space="0" w:color="auto"/>
          </w:divBdr>
        </w:div>
        <w:div w:id="30346987">
          <w:marLeft w:val="0"/>
          <w:marRight w:val="0"/>
          <w:marTop w:val="0"/>
          <w:marBottom w:val="0"/>
          <w:divBdr>
            <w:top w:val="none" w:sz="0" w:space="0" w:color="auto"/>
            <w:left w:val="none" w:sz="0" w:space="0" w:color="auto"/>
            <w:bottom w:val="none" w:sz="0" w:space="0" w:color="auto"/>
            <w:right w:val="none" w:sz="0" w:space="0" w:color="auto"/>
          </w:divBdr>
        </w:div>
        <w:div w:id="1513380141">
          <w:marLeft w:val="0"/>
          <w:marRight w:val="0"/>
          <w:marTop w:val="0"/>
          <w:marBottom w:val="0"/>
          <w:divBdr>
            <w:top w:val="none" w:sz="0" w:space="0" w:color="auto"/>
            <w:left w:val="none" w:sz="0" w:space="0" w:color="auto"/>
            <w:bottom w:val="none" w:sz="0" w:space="0" w:color="auto"/>
            <w:right w:val="none" w:sz="0" w:space="0" w:color="auto"/>
          </w:divBdr>
        </w:div>
        <w:div w:id="1190755193">
          <w:marLeft w:val="0"/>
          <w:marRight w:val="0"/>
          <w:marTop w:val="0"/>
          <w:marBottom w:val="0"/>
          <w:divBdr>
            <w:top w:val="none" w:sz="0" w:space="0" w:color="auto"/>
            <w:left w:val="none" w:sz="0" w:space="0" w:color="auto"/>
            <w:bottom w:val="none" w:sz="0" w:space="0" w:color="auto"/>
            <w:right w:val="none" w:sz="0" w:space="0" w:color="auto"/>
          </w:divBdr>
        </w:div>
        <w:div w:id="1794787534">
          <w:marLeft w:val="0"/>
          <w:marRight w:val="0"/>
          <w:marTop w:val="0"/>
          <w:marBottom w:val="0"/>
          <w:divBdr>
            <w:top w:val="none" w:sz="0" w:space="0" w:color="auto"/>
            <w:left w:val="none" w:sz="0" w:space="0" w:color="auto"/>
            <w:bottom w:val="none" w:sz="0" w:space="0" w:color="auto"/>
            <w:right w:val="none" w:sz="0" w:space="0" w:color="auto"/>
          </w:divBdr>
        </w:div>
        <w:div w:id="419914967">
          <w:marLeft w:val="0"/>
          <w:marRight w:val="0"/>
          <w:marTop w:val="0"/>
          <w:marBottom w:val="0"/>
          <w:divBdr>
            <w:top w:val="none" w:sz="0" w:space="0" w:color="auto"/>
            <w:left w:val="none" w:sz="0" w:space="0" w:color="auto"/>
            <w:bottom w:val="none" w:sz="0" w:space="0" w:color="auto"/>
            <w:right w:val="none" w:sz="0" w:space="0" w:color="auto"/>
          </w:divBdr>
        </w:div>
        <w:div w:id="566501262">
          <w:marLeft w:val="0"/>
          <w:marRight w:val="0"/>
          <w:marTop w:val="0"/>
          <w:marBottom w:val="0"/>
          <w:divBdr>
            <w:top w:val="none" w:sz="0" w:space="0" w:color="auto"/>
            <w:left w:val="none" w:sz="0" w:space="0" w:color="auto"/>
            <w:bottom w:val="none" w:sz="0" w:space="0" w:color="auto"/>
            <w:right w:val="none" w:sz="0" w:space="0" w:color="auto"/>
          </w:divBdr>
        </w:div>
        <w:div w:id="582029198">
          <w:marLeft w:val="0"/>
          <w:marRight w:val="0"/>
          <w:marTop w:val="0"/>
          <w:marBottom w:val="0"/>
          <w:divBdr>
            <w:top w:val="none" w:sz="0" w:space="0" w:color="auto"/>
            <w:left w:val="none" w:sz="0" w:space="0" w:color="auto"/>
            <w:bottom w:val="none" w:sz="0" w:space="0" w:color="auto"/>
            <w:right w:val="none" w:sz="0" w:space="0" w:color="auto"/>
          </w:divBdr>
        </w:div>
        <w:div w:id="1503857583">
          <w:marLeft w:val="0"/>
          <w:marRight w:val="0"/>
          <w:marTop w:val="0"/>
          <w:marBottom w:val="0"/>
          <w:divBdr>
            <w:top w:val="none" w:sz="0" w:space="0" w:color="auto"/>
            <w:left w:val="none" w:sz="0" w:space="0" w:color="auto"/>
            <w:bottom w:val="none" w:sz="0" w:space="0" w:color="auto"/>
            <w:right w:val="none" w:sz="0" w:space="0" w:color="auto"/>
          </w:divBdr>
        </w:div>
        <w:div w:id="1309823738">
          <w:marLeft w:val="0"/>
          <w:marRight w:val="0"/>
          <w:marTop w:val="0"/>
          <w:marBottom w:val="0"/>
          <w:divBdr>
            <w:top w:val="none" w:sz="0" w:space="0" w:color="auto"/>
            <w:left w:val="none" w:sz="0" w:space="0" w:color="auto"/>
            <w:bottom w:val="none" w:sz="0" w:space="0" w:color="auto"/>
            <w:right w:val="none" w:sz="0" w:space="0" w:color="auto"/>
          </w:divBdr>
        </w:div>
        <w:div w:id="1764105144">
          <w:marLeft w:val="0"/>
          <w:marRight w:val="0"/>
          <w:marTop w:val="0"/>
          <w:marBottom w:val="0"/>
          <w:divBdr>
            <w:top w:val="none" w:sz="0" w:space="0" w:color="auto"/>
            <w:left w:val="none" w:sz="0" w:space="0" w:color="auto"/>
            <w:bottom w:val="none" w:sz="0" w:space="0" w:color="auto"/>
            <w:right w:val="none" w:sz="0" w:space="0" w:color="auto"/>
          </w:divBdr>
        </w:div>
        <w:div w:id="1658608064">
          <w:marLeft w:val="0"/>
          <w:marRight w:val="0"/>
          <w:marTop w:val="0"/>
          <w:marBottom w:val="0"/>
          <w:divBdr>
            <w:top w:val="none" w:sz="0" w:space="0" w:color="auto"/>
            <w:left w:val="none" w:sz="0" w:space="0" w:color="auto"/>
            <w:bottom w:val="none" w:sz="0" w:space="0" w:color="auto"/>
            <w:right w:val="none" w:sz="0" w:space="0" w:color="auto"/>
          </w:divBdr>
        </w:div>
        <w:div w:id="1132400333">
          <w:marLeft w:val="0"/>
          <w:marRight w:val="0"/>
          <w:marTop w:val="0"/>
          <w:marBottom w:val="0"/>
          <w:divBdr>
            <w:top w:val="none" w:sz="0" w:space="0" w:color="auto"/>
            <w:left w:val="none" w:sz="0" w:space="0" w:color="auto"/>
            <w:bottom w:val="none" w:sz="0" w:space="0" w:color="auto"/>
            <w:right w:val="none" w:sz="0" w:space="0" w:color="auto"/>
          </w:divBdr>
        </w:div>
        <w:div w:id="1832023337">
          <w:marLeft w:val="0"/>
          <w:marRight w:val="0"/>
          <w:marTop w:val="0"/>
          <w:marBottom w:val="0"/>
          <w:divBdr>
            <w:top w:val="none" w:sz="0" w:space="0" w:color="auto"/>
            <w:left w:val="none" w:sz="0" w:space="0" w:color="auto"/>
            <w:bottom w:val="none" w:sz="0" w:space="0" w:color="auto"/>
            <w:right w:val="none" w:sz="0" w:space="0" w:color="auto"/>
          </w:divBdr>
        </w:div>
        <w:div w:id="1517696203">
          <w:marLeft w:val="0"/>
          <w:marRight w:val="0"/>
          <w:marTop w:val="0"/>
          <w:marBottom w:val="0"/>
          <w:divBdr>
            <w:top w:val="none" w:sz="0" w:space="0" w:color="auto"/>
            <w:left w:val="none" w:sz="0" w:space="0" w:color="auto"/>
            <w:bottom w:val="none" w:sz="0" w:space="0" w:color="auto"/>
            <w:right w:val="none" w:sz="0" w:space="0" w:color="auto"/>
          </w:divBdr>
        </w:div>
        <w:div w:id="1697072584">
          <w:marLeft w:val="0"/>
          <w:marRight w:val="0"/>
          <w:marTop w:val="0"/>
          <w:marBottom w:val="0"/>
          <w:divBdr>
            <w:top w:val="none" w:sz="0" w:space="0" w:color="auto"/>
            <w:left w:val="none" w:sz="0" w:space="0" w:color="auto"/>
            <w:bottom w:val="none" w:sz="0" w:space="0" w:color="auto"/>
            <w:right w:val="none" w:sz="0" w:space="0" w:color="auto"/>
          </w:divBdr>
        </w:div>
        <w:div w:id="803156075">
          <w:marLeft w:val="0"/>
          <w:marRight w:val="0"/>
          <w:marTop w:val="0"/>
          <w:marBottom w:val="0"/>
          <w:divBdr>
            <w:top w:val="none" w:sz="0" w:space="0" w:color="auto"/>
            <w:left w:val="none" w:sz="0" w:space="0" w:color="auto"/>
            <w:bottom w:val="none" w:sz="0" w:space="0" w:color="auto"/>
            <w:right w:val="none" w:sz="0" w:space="0" w:color="auto"/>
          </w:divBdr>
        </w:div>
        <w:div w:id="39791491">
          <w:marLeft w:val="0"/>
          <w:marRight w:val="0"/>
          <w:marTop w:val="0"/>
          <w:marBottom w:val="0"/>
          <w:divBdr>
            <w:top w:val="none" w:sz="0" w:space="0" w:color="auto"/>
            <w:left w:val="none" w:sz="0" w:space="0" w:color="auto"/>
            <w:bottom w:val="none" w:sz="0" w:space="0" w:color="auto"/>
            <w:right w:val="none" w:sz="0" w:space="0" w:color="auto"/>
          </w:divBdr>
        </w:div>
        <w:div w:id="1516387142">
          <w:marLeft w:val="0"/>
          <w:marRight w:val="0"/>
          <w:marTop w:val="0"/>
          <w:marBottom w:val="0"/>
          <w:divBdr>
            <w:top w:val="none" w:sz="0" w:space="0" w:color="auto"/>
            <w:left w:val="none" w:sz="0" w:space="0" w:color="auto"/>
            <w:bottom w:val="none" w:sz="0" w:space="0" w:color="auto"/>
            <w:right w:val="none" w:sz="0" w:space="0" w:color="auto"/>
          </w:divBdr>
        </w:div>
        <w:div w:id="145360523">
          <w:marLeft w:val="0"/>
          <w:marRight w:val="0"/>
          <w:marTop w:val="0"/>
          <w:marBottom w:val="0"/>
          <w:divBdr>
            <w:top w:val="none" w:sz="0" w:space="0" w:color="auto"/>
            <w:left w:val="none" w:sz="0" w:space="0" w:color="auto"/>
            <w:bottom w:val="none" w:sz="0" w:space="0" w:color="auto"/>
            <w:right w:val="none" w:sz="0" w:space="0" w:color="auto"/>
          </w:divBdr>
        </w:div>
      </w:divsChild>
    </w:div>
    <w:div w:id="2079940919">
      <w:bodyDiv w:val="1"/>
      <w:marLeft w:val="0"/>
      <w:marRight w:val="0"/>
      <w:marTop w:val="0"/>
      <w:marBottom w:val="0"/>
      <w:divBdr>
        <w:top w:val="none" w:sz="0" w:space="0" w:color="auto"/>
        <w:left w:val="none" w:sz="0" w:space="0" w:color="auto"/>
        <w:bottom w:val="none" w:sz="0" w:space="0" w:color="auto"/>
        <w:right w:val="none" w:sz="0" w:space="0" w:color="auto"/>
      </w:divBdr>
      <w:divsChild>
        <w:div w:id="935674658">
          <w:marLeft w:val="0"/>
          <w:marRight w:val="0"/>
          <w:marTop w:val="0"/>
          <w:marBottom w:val="0"/>
          <w:divBdr>
            <w:top w:val="none" w:sz="0" w:space="0" w:color="auto"/>
            <w:left w:val="none" w:sz="0" w:space="0" w:color="auto"/>
            <w:bottom w:val="none" w:sz="0" w:space="0" w:color="auto"/>
            <w:right w:val="none" w:sz="0" w:space="0" w:color="auto"/>
          </w:divBdr>
          <w:divsChild>
            <w:div w:id="1168449139">
              <w:marLeft w:val="0"/>
              <w:marRight w:val="0"/>
              <w:marTop w:val="0"/>
              <w:marBottom w:val="0"/>
              <w:divBdr>
                <w:top w:val="none" w:sz="0" w:space="0" w:color="auto"/>
                <w:left w:val="none" w:sz="0" w:space="0" w:color="auto"/>
                <w:bottom w:val="none" w:sz="0" w:space="0" w:color="auto"/>
                <w:right w:val="none" w:sz="0" w:space="0" w:color="auto"/>
              </w:divBdr>
              <w:divsChild>
                <w:div w:id="9853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310</Words>
  <Characters>1773</Characters>
  <Application>Microsoft Office Word</Application>
  <DocSecurity>0</DocSecurity>
  <Lines>14</Lines>
  <Paragraphs>4</Paragraphs>
  <ScaleCrop>false</ScaleCrop>
  <Company>P R C</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2017-11-14T08:29:00Z</dcterms:created>
  <dcterms:modified xsi:type="dcterms:W3CDTF">2017-11-14T08:34:00Z</dcterms:modified>
</cp:coreProperties>
</file>